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EFFE42F" wp14:editId="09E187FD">
            <wp:extent cx="600075" cy="7810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810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440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</w:t>
      </w:r>
    </w:p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b/>
          <w:bCs/>
          <w:sz w:val="40"/>
          <w:szCs w:val="40"/>
        </w:rPr>
        <w:t>ДУМА ГОРОДСКОГО ОКРУГА КИНЕЛЬ САМАРСКОЙ ОБЛАСТИ</w:t>
      </w:r>
    </w:p>
    <w:p w:rsidR="00B979E2" w:rsidRPr="0072440C" w:rsidRDefault="00B979E2" w:rsidP="00B979E2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spacing w:line="240" w:lineRule="auto"/>
        <w:ind w:left="-284"/>
        <w:rPr>
          <w:rFonts w:ascii="Times New Roman" w:hAnsi="Times New Roman" w:cs="Times New Roman"/>
        </w:rPr>
      </w:pPr>
      <w:r w:rsidRPr="0072440C">
        <w:rPr>
          <w:rFonts w:ascii="Times New Roman" w:hAnsi="Times New Roman" w:cs="Times New Roman"/>
          <w:b/>
          <w:bCs/>
          <w:sz w:val="28"/>
          <w:szCs w:val="28"/>
        </w:rPr>
        <w:t>446430, г. Кинель ул. Мира, 42а                                     тел. 2-19-60, 2-18-80</w:t>
      </w:r>
    </w:p>
    <w:tbl>
      <w:tblPr>
        <w:tblW w:w="0" w:type="auto"/>
        <w:tblInd w:w="-252" w:type="dxa"/>
        <w:tblLayout w:type="fixed"/>
        <w:tblLook w:val="0000" w:firstRow="0" w:lastRow="0" w:firstColumn="0" w:lastColumn="0" w:noHBand="0" w:noVBand="0"/>
      </w:tblPr>
      <w:tblGrid>
        <w:gridCol w:w="10080"/>
      </w:tblGrid>
      <w:tr w:rsidR="00B979E2" w:rsidRPr="0072440C" w:rsidTr="00EF58FF">
        <w:trPr>
          <w:trHeight w:val="100"/>
        </w:trPr>
        <w:tc>
          <w:tcPr>
            <w:tcW w:w="10080" w:type="dxa"/>
            <w:shd w:val="clear" w:color="auto" w:fill="auto"/>
          </w:tcPr>
          <w:p w:rsidR="00B979E2" w:rsidRPr="0072440C" w:rsidRDefault="00B979E2" w:rsidP="00EF58FF">
            <w:pPr>
              <w:snapToGrid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B979E2" w:rsidRPr="0072440C" w:rsidRDefault="00B979E2" w:rsidP="00B979E2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2440C">
        <w:rPr>
          <w:rFonts w:ascii="Times New Roman" w:hAnsi="Times New Roman" w:cs="Times New Roman"/>
          <w:b/>
          <w:bCs/>
          <w:sz w:val="27"/>
          <w:szCs w:val="27"/>
        </w:rPr>
        <w:t>«___» _____ 202</w:t>
      </w:r>
      <w:r w:rsidRPr="0072440C">
        <w:rPr>
          <w:rFonts w:ascii="Times New Roman" w:hAnsi="Times New Roman" w:cs="Times New Roman"/>
          <w:b/>
          <w:bCs/>
          <w:sz w:val="27"/>
          <w:szCs w:val="27"/>
          <w:u w:val="single"/>
        </w:rPr>
        <w:t>5</w:t>
      </w:r>
      <w:r w:rsidRPr="0072440C">
        <w:rPr>
          <w:rFonts w:ascii="Times New Roman" w:hAnsi="Times New Roman" w:cs="Times New Roman"/>
          <w:b/>
          <w:bCs/>
          <w:sz w:val="27"/>
          <w:szCs w:val="27"/>
        </w:rPr>
        <w:t xml:space="preserve"> года                                               </w:t>
      </w:r>
      <w:r>
        <w:rPr>
          <w:rFonts w:ascii="Times New Roman" w:hAnsi="Times New Roman" w:cs="Times New Roman"/>
          <w:b/>
          <w:bCs/>
          <w:sz w:val="27"/>
          <w:szCs w:val="27"/>
        </w:rPr>
        <w:t xml:space="preserve">    </w:t>
      </w:r>
      <w:r w:rsidRPr="0072440C">
        <w:rPr>
          <w:rFonts w:ascii="Times New Roman" w:hAnsi="Times New Roman" w:cs="Times New Roman"/>
          <w:b/>
          <w:bCs/>
          <w:sz w:val="27"/>
          <w:szCs w:val="27"/>
        </w:rPr>
        <w:t xml:space="preserve">           № ___</w:t>
      </w:r>
    </w:p>
    <w:p w:rsidR="00B979E2" w:rsidRPr="0072440C" w:rsidRDefault="00B979E2" w:rsidP="00B979E2">
      <w:pPr>
        <w:spacing w:line="240" w:lineRule="auto"/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B979E2" w:rsidRPr="0072440C" w:rsidRDefault="00B979E2" w:rsidP="00B979E2">
      <w:pPr>
        <w:jc w:val="center"/>
        <w:rPr>
          <w:rFonts w:ascii="Times New Roman" w:hAnsi="Times New Roman" w:cs="Times New Roman"/>
          <w:sz w:val="27"/>
          <w:szCs w:val="27"/>
        </w:rPr>
      </w:pPr>
      <w:r w:rsidRPr="0072440C">
        <w:rPr>
          <w:rFonts w:ascii="Times New Roman" w:hAnsi="Times New Roman" w:cs="Times New Roman"/>
          <w:b/>
          <w:bCs/>
          <w:sz w:val="40"/>
          <w:szCs w:val="40"/>
        </w:rPr>
        <w:t>РЕШЕНИЕ</w:t>
      </w:r>
    </w:p>
    <w:p w:rsidR="00B979E2" w:rsidRPr="0072440C" w:rsidRDefault="00B979E2" w:rsidP="00B979E2">
      <w:pPr>
        <w:tabs>
          <w:tab w:val="left" w:pos="5529"/>
        </w:tabs>
        <w:autoSpaceDE w:val="0"/>
        <w:spacing w:line="240" w:lineRule="auto"/>
        <w:ind w:right="396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Pr="0072440C" w:rsidRDefault="00B979E2" w:rsidP="00B979E2">
      <w:pPr>
        <w:tabs>
          <w:tab w:val="left" w:pos="5040"/>
        </w:tabs>
        <w:autoSpaceDE w:val="0"/>
        <w:spacing w:line="240" w:lineRule="auto"/>
        <w:ind w:right="4597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956128"/>
      <w:r w:rsidRPr="0072440C">
        <w:rPr>
          <w:rFonts w:ascii="Times New Roman" w:hAnsi="Times New Roman" w:cs="Times New Roman"/>
          <w:sz w:val="28"/>
          <w:szCs w:val="28"/>
        </w:rPr>
        <w:t>О внесении изменений в Правила благоустройства территории городского округа Кинель Самарской области, утверждённые решением Думы городского округа Кинель Самарской области от 28 июня 2018 года № 364 (</w:t>
      </w:r>
      <w:r w:rsidRPr="007A4C61">
        <w:rPr>
          <w:rFonts w:ascii="Times New Roman" w:hAnsi="Times New Roman" w:cs="Times New Roman"/>
          <w:sz w:val="28"/>
          <w:szCs w:val="28"/>
        </w:rPr>
        <w:t>в редакции от 27 марта 2025 года</w:t>
      </w:r>
      <w:r w:rsidRPr="0072440C">
        <w:rPr>
          <w:rFonts w:ascii="Times New Roman" w:hAnsi="Times New Roman" w:cs="Times New Roman"/>
          <w:sz w:val="28"/>
          <w:szCs w:val="28"/>
        </w:rPr>
        <w:t>)</w:t>
      </w:r>
      <w:bookmarkEnd w:id="0"/>
    </w:p>
    <w:p w:rsidR="00B979E2" w:rsidRPr="0072440C" w:rsidRDefault="00B979E2" w:rsidP="00B979E2">
      <w:pPr>
        <w:spacing w:line="48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B3692" w:rsidRDefault="00DB3692" w:rsidP="00DB3692">
      <w:pPr>
        <w:spacing w:line="360" w:lineRule="auto"/>
        <w:ind w:firstLine="709"/>
        <w:jc w:val="both"/>
        <w:rPr>
          <w:rFonts w:ascii="Calibri" w:eastAsia="Calibri" w:hAnsi="Calibri" w:cs="Calibri"/>
          <w:i/>
        </w:rPr>
      </w:pPr>
      <w:proofErr w:type="gramStart"/>
      <w:r>
        <w:rPr>
          <w:rFonts w:ascii="Times New Roman" w:eastAsia="Times New Roman" w:hAnsi="Times New Roman" w:cs="Times New Roman"/>
          <w:sz w:val="28"/>
        </w:rPr>
        <w:t xml:space="preserve">Рассмотрев предложение Главы городского округа Кинель Самарской области, в соответствии с Федеральным законом от 6 октября 2003 года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 131-ФЗ «Об общих принципах организации местного самоуправления в Российской Федерации», с учётом протокола проведения публичных слушаний проекта решения Думы городского округа Кинель Самарской области «О внесении изменений в Правила благоустройства территории городского округа Кинель Самарской области, утверждённые решением Думы городского округа Кинель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Самарской области от 28 июня 2018 года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 364 (в редакции от 27 марта 2025 года)», руководствуясь Уставом городского </w:t>
      </w:r>
      <w:r>
        <w:rPr>
          <w:rFonts w:ascii="Times New Roman" w:eastAsia="Times New Roman" w:hAnsi="Times New Roman" w:cs="Times New Roman"/>
          <w:sz w:val="28"/>
        </w:rPr>
        <w:lastRenderedPageBreak/>
        <w:t>округа Кинель Самарской области, Дума городского округа Кинель Самарской области</w:t>
      </w:r>
    </w:p>
    <w:p w:rsidR="00DB3692" w:rsidRDefault="00DB3692" w:rsidP="00DB3692">
      <w:pPr>
        <w:spacing w:line="360" w:lineRule="auto"/>
        <w:ind w:firstLine="570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РЕШИЛА:</w:t>
      </w:r>
    </w:p>
    <w:p w:rsidR="00DB3692" w:rsidRDefault="00DB3692" w:rsidP="00DB3692">
      <w:pPr>
        <w:suppressAutoHyphens/>
        <w:spacing w:before="120" w:line="360" w:lineRule="auto"/>
        <w:ind w:right="-6"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1. Внести в Правила благоустройства территории городского округа Кинель Самарской области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, утверждённые решением Думы городского округа Кинель Самарской области от 28 июня 2018 года </w:t>
      </w:r>
      <w:r>
        <w:rPr>
          <w:rFonts w:ascii="Segoe UI Symbol" w:eastAsia="Segoe UI Symbol" w:hAnsi="Segoe UI Symbol" w:cs="Segoe UI Symbol"/>
          <w:color w:val="000000"/>
          <w:sz w:val="28"/>
        </w:rPr>
        <w:t>№</w:t>
      </w:r>
      <w:r>
        <w:rPr>
          <w:rFonts w:ascii="Times New Roman" w:eastAsia="Times New Roman" w:hAnsi="Times New Roman" w:cs="Times New Roman"/>
          <w:color w:val="000000"/>
          <w:sz w:val="28"/>
        </w:rPr>
        <w:t> 364 (</w:t>
      </w:r>
      <w:r>
        <w:rPr>
          <w:rFonts w:ascii="Times New Roman" w:eastAsia="Times New Roman" w:hAnsi="Times New Roman" w:cs="Times New Roman"/>
          <w:sz w:val="28"/>
        </w:rPr>
        <w:t xml:space="preserve">в редакции от 27 марта 2025 года), следующие изменения: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1.1. Пункт 4.1.9. изложить в новой редакции согласно Приложению 1 к настоящему решению.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1.2. В пункте 4.3.1.4.: 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дополнить подпунктом «в)» в следующей редакции: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"в) при возникновении на автомобильной дороге препятствий для движения транспортных средств в виде выбоин или других подобных повреждений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</w:rPr>
        <w:t>асфальто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– бетонного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дорожного полотна в результате обстоятельств естественного износа обеспечивается принятие незамедлительных мер по восстановлению дорожного полотна или временному ограничению либо прекращению движения транспортных средств. Сроки устранения повреждений и размеры повреждений, подлежащих срочному устранению установлены ГОСТ</w:t>
      </w:r>
      <w:proofErr w:type="gramStart"/>
      <w:r>
        <w:rPr>
          <w:rFonts w:ascii="Times New Roman" w:eastAsia="Times New Roman" w:hAnsi="Times New Roman" w:cs="Times New Roman"/>
          <w:sz w:val="28"/>
        </w:rPr>
        <w:t>.".</w:t>
      </w:r>
      <w:proofErr w:type="gramEnd"/>
    </w:p>
    <w:p w:rsidR="00DB3692" w:rsidRDefault="00DB3692" w:rsidP="00DB3692">
      <w:pPr>
        <w:spacing w:before="220"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 1.3.  В подпункте "1)" пункта 7.2.2.1 исключить слова «В случае использования двух и более языков тексты должны быть идентичными по содержанию и техническому оформлению, выполнены грамотно и разборчиво».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1.4. В пункте 19.7.: 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подпункт «в)» после слов «пользования</w:t>
      </w:r>
      <w:proofErr w:type="gramStart"/>
      <w:r>
        <w:rPr>
          <w:rFonts w:ascii="Times New Roman" w:eastAsia="Times New Roman" w:hAnsi="Times New Roman" w:cs="Times New Roman"/>
          <w:sz w:val="28"/>
        </w:rPr>
        <w:t>,»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дополнить словами «а также на частных территориях»;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абзац второй подпункта «е)» изложить в следующей редакции: 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«Для получения разрешения на складирование, хранение строительных материалов, твердого топлива и тому подобных материалов на землях и </w:t>
      </w:r>
      <w:r>
        <w:rPr>
          <w:rFonts w:ascii="Times New Roman" w:eastAsia="Times New Roman" w:hAnsi="Times New Roman" w:cs="Times New Roman"/>
          <w:sz w:val="28"/>
        </w:rPr>
        <w:lastRenderedPageBreak/>
        <w:t>земельных участках, не принадлежащих собственнику индивидуального жилого дома (на прилегающей территории) на срок до трех месяцев, собственник индивидуального жилого дома обращается в управление административного, экологического и муниципального контроля администрации городского округа. Разрешение не может быть продлено более чем на два срока, и только при условии использования в отведенный срок разрешенных к складированию строительных материалов;»;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подпункт «и)» после слов «тротуары</w:t>
      </w:r>
      <w:proofErr w:type="gramStart"/>
      <w:r>
        <w:rPr>
          <w:rFonts w:ascii="Times New Roman" w:eastAsia="Times New Roman" w:hAnsi="Times New Roman" w:cs="Times New Roman"/>
          <w:sz w:val="28"/>
        </w:rPr>
        <w:t>,»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дополнить словом «газоны,»;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подпункт «й)» после слов «тротуарах» дополнить словами «, размещение и отстой недвижимого и разукомплектованного легкового и грузового автотранспорта на прилегающих территориях общего пользования к специализированным автомастерским (сервисам), если территория не находится в ином статусе владения»; </w:t>
      </w:r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/>
          <w:sz w:val="28"/>
        </w:rPr>
        <w:t xml:space="preserve">подпункт «н» после слов «падение» дополнить словами «, перевозка сыпучих грузов (песок, щебень, навоз и т.п.) без укрывного материала».  </w:t>
      </w:r>
      <w:proofErr w:type="gramEnd"/>
    </w:p>
    <w:p w:rsidR="00DB3692" w:rsidRDefault="00DB3692" w:rsidP="00DB36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1.4. Дополнить  Приложением 2 согласно Приложению 2 к настоящему решению.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2.  Официально опубликовать настоящее решение. </w:t>
      </w:r>
    </w:p>
    <w:p w:rsidR="00DB3692" w:rsidRDefault="00DB3692" w:rsidP="00DB3692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3. Настоящее решение вступает в силу на следующий день после дня его официального опубликования.</w:t>
      </w:r>
    </w:p>
    <w:p w:rsidR="00DB3692" w:rsidRDefault="00DB3692" w:rsidP="00DB3692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 </w:t>
      </w:r>
      <w:proofErr w:type="gramStart"/>
      <w:r>
        <w:rPr>
          <w:rFonts w:ascii="Times New Roman" w:eastAsia="Times New Roman" w:hAnsi="Times New Roman" w:cs="Times New Roman"/>
          <w:sz w:val="28"/>
        </w:rPr>
        <w:t>Контроль за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исполнением настоящего решения возложить на комиссию по вопросам местного самоуправления Думы городского округа Кинель Самарской области.</w:t>
      </w:r>
    </w:p>
    <w:p w:rsidR="00DB3692" w:rsidRDefault="00DB3692" w:rsidP="00DB36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Председатель Думы 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городского</w:t>
      </w:r>
      <w:proofErr w:type="gramEnd"/>
    </w:p>
    <w:p w:rsidR="00DB3692" w:rsidRDefault="00DB3692" w:rsidP="00DB36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округа Кинель Самарской области                                  А.А. 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Санин</w:t>
      </w:r>
      <w:proofErr w:type="gramEnd"/>
    </w:p>
    <w:p w:rsidR="00DB3692" w:rsidRDefault="00DB3692" w:rsidP="00DB36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DB3692" w:rsidRDefault="00DB3692" w:rsidP="00DB36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Глава городского округа Кинель </w:t>
      </w:r>
    </w:p>
    <w:p w:rsidR="00DB3692" w:rsidRDefault="00DB3692" w:rsidP="00DB36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Самарской области                                                          В.С. Тимошенко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Приложение 1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 решению Думы городского округа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Кинель Самарской области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от ________ 2025 г.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 ____</w:t>
      </w:r>
    </w:p>
    <w:p w:rsidR="00DB3692" w:rsidRDefault="00DB3692" w:rsidP="00DB3692">
      <w:pPr>
        <w:spacing w:after="0" w:line="48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«                    </w:t>
      </w:r>
      <w:r>
        <w:rPr>
          <w:rFonts w:ascii="Times New Roman" w:eastAsia="Times New Roman" w:hAnsi="Times New Roman" w:cs="Times New Roman"/>
          <w:sz w:val="28"/>
        </w:rPr>
        <w:t xml:space="preserve">          4.1.9. Нестационарные объекты</w:t>
      </w:r>
    </w:p>
    <w:p w:rsidR="00DB3692" w:rsidRDefault="00DB3692" w:rsidP="00DB3692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Отделочные материалы нестационарных объектов должны отвечать санитарно-гигиеническим требованиям, нормам противопожарной безопасности, архитектурно-художественным требованиям городского дизайна и освещения и условиям долговременной эксплуатации.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При остеклении витрин применяются только безосколочные, ударостойкие материалы, безопасные упрочняющие многослойные пленочные покрытия, поликарбонатные стекла.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рамках решения задачи обеспечения качества городской среды, при создании и благоустройстве нестационарных объектов учитываются принципы функционального разнообразия, организации комфортной пешеходной среды, комфортной среды для общения в части обеспечения территории разнообразными сервисами, востребованными центрами притяжения людей без ущерба для комфортного передвижения по сложившимся пешеходным маршрутам.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Нестационарные объекты устанавливаются на твердые виды покрытия, оборудуются осветительным оборудованием, урнами и (или) малыми контейнерами для мусора.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Варианты внешнего архитектурно-дизайнерского облика нестационарных объектов  в соответствии с их типами и функциональным назначением представлены в Приложении 2 к настоящим Правилам.</w:t>
      </w:r>
    </w:p>
    <w:p w:rsidR="00DB3692" w:rsidRDefault="00DB3692" w:rsidP="00DB3692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Порядок размещения, проектирования и эксплуатации нестационарных торговых объектов</w:t>
      </w:r>
    </w:p>
    <w:p w:rsidR="00DB3692" w:rsidRDefault="00DB3692" w:rsidP="00DB3692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4.1.9.1. Размещение нестационарных торговых объектов (далее – НТО) на территории городского округа осуществляется в соответствии со схемой размещения нестационарных торговых объектов на территории городского округа Кинель Самарской области, утверждаемой постановлением администрации городского округа.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4.1.9.2. Размещение НТО допускается при наличии Договора на размещение нестационарного торгового объекта (далее – Договор), заключенного с администрацией городского округа.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4.1.9.3. Лицо, которому по Договору предоставляется право пользования местом для размещения НТО </w:t>
      </w:r>
      <w:proofErr w:type="gramStart"/>
      <w:r>
        <w:rPr>
          <w:rFonts w:ascii="Times New Roman" w:eastAsia="Times New Roman" w:hAnsi="Times New Roman" w:cs="Times New Roman"/>
          <w:sz w:val="28"/>
        </w:rPr>
        <w:t>обязан</w:t>
      </w:r>
      <w:proofErr w:type="gramEnd"/>
      <w:r>
        <w:rPr>
          <w:rFonts w:ascii="Times New Roman" w:eastAsia="Times New Roman" w:hAnsi="Times New Roman" w:cs="Times New Roman"/>
          <w:sz w:val="28"/>
        </w:rPr>
        <w:t>,</w:t>
      </w:r>
      <w:r>
        <w:rPr>
          <w:rFonts w:ascii="Times New Roman" w:eastAsia="Times New Roman" w:hAnsi="Times New Roman" w:cs="Times New Roman"/>
          <w:sz w:val="28"/>
        </w:rPr>
        <w:t xml:space="preserve"> установить НТО в соответствии с одним из вариантом эскизов типовых архитектурных решений нестационарных торговых объектов на территории городского округа Кинель Самарской области, представленных в приложении 2 к настоящим Правилам.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Внешний облик, цветовое решение декоративных ограждающих поверхностей, архитектурные эксплуатационные показатели фасадов НТО, линейные, габаритные размеры и иные сведения о НТО отражаются в Паспорте нестационарного торгового объекта, являющимся неотъемлемой частью Договора.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4.1.9.4. </w:t>
      </w:r>
      <w:proofErr w:type="gramStart"/>
      <w:r>
        <w:rPr>
          <w:rFonts w:ascii="Times New Roman" w:eastAsia="Times New Roman" w:hAnsi="Times New Roman" w:cs="Times New Roman"/>
          <w:sz w:val="28"/>
        </w:rPr>
        <w:t>Паспорте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нестационарного торгового объекта разрабатывается лицом, которому по Договору предоставляется право пользования местом для размещения НТО, с учетом обязательных требований, указанных в пункте 4.1.9.5. Правил и действующего законодательства.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4.1.9.5. НТО должен быть оборудован: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вывеской отвечающей требованиям, установленным пунктом 7.2.2.1. и 7.2.2.2. Правил благоустройства и иным требованиям законодательства Российской Федерации;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/>
          <w:sz w:val="28"/>
        </w:rPr>
        <w:lastRenderedPageBreak/>
        <w:t xml:space="preserve">элементы озеленения (на выбор: навесные кашпо, цветочницы, вазоны; высокие цветочницы, вазоны; цветочницы, кашпо, вазоны); </w:t>
      </w:r>
      <w:proofErr w:type="gramEnd"/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уличное коммунально-бытовое оборудование (урны и (или) малыми контейнерами для мусора);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твердое (капитальное) покрытие, находящиеся не выше проезжей части автомобильной дороги либо тротуара.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4.1.9.6. Лицо, которому по Договору </w:t>
      </w:r>
      <w:proofErr w:type="gramStart"/>
      <w:r>
        <w:rPr>
          <w:rFonts w:ascii="Times New Roman" w:eastAsia="Times New Roman" w:hAnsi="Times New Roman" w:cs="Times New Roman"/>
          <w:sz w:val="28"/>
        </w:rPr>
        <w:t>предоставляется право пользования местом для размещения НТО предоставляет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разработанный Паспорт нестационарного торгового объекта в Управление архитектуры и градостроительства администрации городского округа Кинель Самарской области (далее – Управление архитектуры и градостроительства) для согласования.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4.1.9.6.1. Управление архитектуры и градостроительства в течение 5 (пяти) рабочих дней рассматривает полученный Паспорт нестационарного торгового объекта и принимает одно из следующих решений: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согласовать представленный Паспорт нестационарного торгового объекта. Для согласования используется гриф согласования на проекте Паспорта нестационарного торгового объекта. Гриф согласования выражает согласие Управления архитектуры и градостроительства с его содержанием. Гриф согласования документа состоит из слова СОГЛАСОВАНО, должности лица, с которым согласован документ (включая наименование организации), личной подписи, расшифровки подписи (инициалов, фамилии) и даты согласования, печати Управления архитектуры и градостроительства;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отказать в согласовании представленного Паспорта нестационарного торгового объекта. В этом случае лицу, которому по Договору предоставляется право пользования местом для размещения НТО, направляется в письменной форме мотивированный отказ от согласования Паспорта нестационарного торгового объекта.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4.1.9.7. Торговля овощами, бахчевыми культурами, фруктами должна производиться на специально оборудованной временной конструкции, представляющей собой обособленную площадку, оборудованную свежеокрашенными ограждениями, сетками, корзинами, зонтами, тентами, навесами.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4.1.9.8. При организации торговли безалкогольными напитками, квасом (бойлер или </w:t>
      </w:r>
      <w:proofErr w:type="spellStart"/>
      <w:r>
        <w:rPr>
          <w:rFonts w:ascii="Times New Roman" w:eastAsia="Times New Roman" w:hAnsi="Times New Roman" w:cs="Times New Roman"/>
          <w:sz w:val="28"/>
        </w:rPr>
        <w:t>кеговая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установка), питьевой водой (</w:t>
      </w:r>
      <w:proofErr w:type="spellStart"/>
      <w:r>
        <w:rPr>
          <w:rFonts w:ascii="Times New Roman" w:eastAsia="Times New Roman" w:hAnsi="Times New Roman" w:cs="Times New Roman"/>
          <w:sz w:val="28"/>
        </w:rPr>
        <w:t>вейдинговый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аппарат, павильон для реализации питьевой воды в розлив) выбирается место установки на твердом покрытии с учетом удобного подъезда автотранспорта с условием сохранения существующих газонов и зеленых насаждений.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Бойлер, </w:t>
      </w:r>
      <w:proofErr w:type="spellStart"/>
      <w:r>
        <w:rPr>
          <w:rFonts w:ascii="Times New Roman" w:eastAsia="Times New Roman" w:hAnsi="Times New Roman" w:cs="Times New Roman"/>
          <w:sz w:val="28"/>
        </w:rPr>
        <w:t>кеговая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установка, </w:t>
      </w:r>
      <w:proofErr w:type="spellStart"/>
      <w:r>
        <w:rPr>
          <w:rFonts w:ascii="Times New Roman" w:eastAsia="Times New Roman" w:hAnsi="Times New Roman" w:cs="Times New Roman"/>
          <w:sz w:val="28"/>
        </w:rPr>
        <w:t>вейдинговый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аппарат должны быть чистыми и свежеокрашенными. Обязательно наличие тента, зонта или навеса, защищающего рабочее место продавца от солнца.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4.1.9.9. Торговля деревьями хвойных пород должна производиться на обособленной площадке площадью не менее 15 </w:t>
      </w:r>
      <w:proofErr w:type="spellStart"/>
      <w:r>
        <w:rPr>
          <w:rFonts w:ascii="Times New Roman" w:eastAsia="Times New Roman" w:hAnsi="Times New Roman" w:cs="Times New Roman"/>
          <w:sz w:val="28"/>
        </w:rPr>
        <w:t>кв</w:t>
      </w:r>
      <w:proofErr w:type="gramStart"/>
      <w:r>
        <w:rPr>
          <w:rFonts w:ascii="Times New Roman" w:eastAsia="Times New Roman" w:hAnsi="Times New Roman" w:cs="Times New Roman"/>
          <w:sz w:val="28"/>
        </w:rPr>
        <w:t>.м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</w:rPr>
        <w:t xml:space="preserve"> с учетом удобного подъезда автотранспорта с условием сохранения существующих газонов и зеленых насаждений.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Обязательно освещение, ограждение территории, наличие средств пожаротушения.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Допускается при обустройстве мест торговли деревьями хвойных пород не использовать эскизы типовых </w:t>
      </w:r>
      <w:proofErr w:type="gramStart"/>
      <w:r>
        <w:rPr>
          <w:rFonts w:ascii="Times New Roman" w:eastAsia="Times New Roman" w:hAnsi="Times New Roman" w:cs="Times New Roman"/>
          <w:sz w:val="28"/>
        </w:rPr>
        <w:t>архитектурных решений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нестационарных торговых объектов на территории городского округа Кинель Самарской области, представленных в приложении 2 к настоящим Правилам.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4.1.9.10. Территория, где организована нестационарная торговля, должна содержаться в надлежащем санитарном состоянии в течение всего рабочего дня.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4.1.9.11. Положения Правил, устанавливающие обязательные требования в части архитектурного и объемно-планировочного решения </w:t>
      </w:r>
      <w:r>
        <w:rPr>
          <w:rFonts w:ascii="Times New Roman" w:eastAsia="Times New Roman" w:hAnsi="Times New Roman" w:cs="Times New Roman"/>
          <w:sz w:val="28"/>
        </w:rPr>
        <w:lastRenderedPageBreak/>
        <w:t>НТО, вступают в силу с 1 марта 2026 года и действуют до 29 февраля 2032 года</w:t>
      </w:r>
      <w:proofErr w:type="gramStart"/>
      <w:r>
        <w:rPr>
          <w:rFonts w:ascii="Times New Roman" w:eastAsia="Times New Roman" w:hAnsi="Times New Roman" w:cs="Times New Roman"/>
          <w:sz w:val="28"/>
        </w:rPr>
        <w:t>.».</w:t>
      </w:r>
      <w:proofErr w:type="gramEnd"/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ind w:firstLine="709"/>
        <w:jc w:val="both"/>
        <w:rPr>
          <w:rFonts w:ascii="Times New Roman" w:eastAsia="Times New Roman" w:hAnsi="Times New Roman" w:cs="Times New Roman"/>
          <w:sz w:val="28"/>
        </w:rPr>
      </w:pPr>
      <w:bookmarkStart w:id="1" w:name="_GoBack"/>
      <w:bookmarkEnd w:id="1"/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Приложение 2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 решению Думы городского округа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Кинель Самарской области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от ________ 2025 г.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 ____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«Приложение 2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 Правилам благоустройства территории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городского округа Кинель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Самарской области, </w:t>
      </w:r>
      <w:proofErr w:type="gramStart"/>
      <w:r>
        <w:rPr>
          <w:rFonts w:ascii="Times New Roman" w:eastAsia="Times New Roman" w:hAnsi="Times New Roman" w:cs="Times New Roman"/>
          <w:sz w:val="28"/>
        </w:rPr>
        <w:t>утвержденным</w:t>
      </w:r>
      <w:proofErr w:type="gramEnd"/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решением Думы городского округа Кинель</w:t>
      </w:r>
    </w:p>
    <w:p w:rsidR="00DB3692" w:rsidRDefault="00DB3692" w:rsidP="00DB369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Самарской области от 28 июня 2018 года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 364</w:t>
      </w:r>
    </w:p>
    <w:p w:rsidR="00DB3692" w:rsidRDefault="00DB3692" w:rsidP="00DB3692">
      <w:pPr>
        <w:spacing w:after="1" w:line="480" w:lineRule="auto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Эскизы типовых </w:t>
      </w:r>
      <w:proofErr w:type="gramStart"/>
      <w:r>
        <w:rPr>
          <w:rFonts w:ascii="Times New Roman" w:eastAsia="Times New Roman" w:hAnsi="Times New Roman" w:cs="Times New Roman"/>
          <w:sz w:val="28"/>
        </w:rPr>
        <w:t>архитектурных решений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нестационарных торговых объектов на территории городского округа Кинель Самарской области</w:t>
      </w:r>
    </w:p>
    <w:p w:rsidR="00DB3692" w:rsidRDefault="00DB3692" w:rsidP="00DB3692">
      <w:pPr>
        <w:spacing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Настоящие эскизы типовых </w:t>
      </w:r>
      <w:proofErr w:type="gramStart"/>
      <w:r>
        <w:rPr>
          <w:rFonts w:ascii="Times New Roman" w:eastAsia="Times New Roman" w:hAnsi="Times New Roman" w:cs="Times New Roman"/>
          <w:sz w:val="28"/>
        </w:rPr>
        <w:t>архитектурных решений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применяются с целью приведения НТО к единому объемно-планировочному и архитектурному облику на территории городского округа.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Конструктивные решения НТО разрабатываются отдельно, согласно типовым проектам производителей с учетом норм и правил  эксплуатационной безопасности. 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Для изготовления (модернизации) НТО и их отделки применяются современные сертифицированные (в </w:t>
      </w:r>
      <w:proofErr w:type="spellStart"/>
      <w:r>
        <w:rPr>
          <w:rFonts w:ascii="Times New Roman" w:eastAsia="Times New Roman" w:hAnsi="Times New Roman" w:cs="Times New Roman"/>
          <w:sz w:val="28"/>
        </w:rPr>
        <w:t>т.ч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. в части пожарной безопасности) материалы, имеющие качественную и прочную окраску, отделку и не изменяющие своих эстетических и эксплуатационных качеств в течение всего срока эксплуатации. При этом в проектах не допускается применение кирпича, блоков, бетона, </w:t>
      </w:r>
      <w:proofErr w:type="spellStart"/>
      <w:r>
        <w:rPr>
          <w:rFonts w:ascii="Times New Roman" w:eastAsia="Times New Roman" w:hAnsi="Times New Roman" w:cs="Times New Roman"/>
          <w:sz w:val="28"/>
        </w:rPr>
        <w:t>сайдинга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, рулонной и шиферной кровли, </w:t>
      </w:r>
      <w:proofErr w:type="spellStart"/>
      <w:r>
        <w:rPr>
          <w:rFonts w:ascii="Times New Roman" w:eastAsia="Times New Roman" w:hAnsi="Times New Roman" w:cs="Times New Roman"/>
          <w:sz w:val="28"/>
        </w:rPr>
        <w:t>металлочерепицы</w:t>
      </w:r>
      <w:proofErr w:type="spellEnd"/>
      <w:r>
        <w:rPr>
          <w:rFonts w:ascii="Times New Roman" w:eastAsia="Times New Roman" w:hAnsi="Times New Roman" w:cs="Times New Roman"/>
          <w:sz w:val="28"/>
        </w:rPr>
        <w:t>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Архитектурное и конструктивное решение входной группы (групп) объекта, торгового зала, а также основные пути передвижения по прилегающей территории к входу (входам) объекта должны соответствовать </w:t>
      </w:r>
      <w:r>
        <w:rPr>
          <w:rFonts w:ascii="Times New Roman" w:eastAsia="Times New Roman" w:hAnsi="Times New Roman" w:cs="Times New Roman"/>
          <w:sz w:val="28"/>
        </w:rPr>
        <w:lastRenderedPageBreak/>
        <w:t>требованиям СП 59.13330.2012 «Доступность зданий и сооружений для маломобильных групп населения».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НТО должны иметь вывеску, определяющую профиль предприятия, и информационную табличку с указанием зарегистрированного названия, формы собственности и режима работы предприятия. Размещение на фасадах и кровлях НТО информации рекламного характера запрещено.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случае объединения объектов НТО в единый модуль различной конфигурации, а также для объектов, находящихся в одной торговой зоне, все видимые элементы отделки и объемно-планировочные решения выполняются идентичными друг другу.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Территория, занимаемая НТО, а также прилегающая территория должны быть благоустроены в соответствии с проектом благоустройства НТО и прилегающей к нему территории.</w:t>
      </w:r>
    </w:p>
    <w:p w:rsidR="00DB3692" w:rsidRDefault="00DB3692" w:rsidP="00DB3692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79E2" w:rsidRDefault="00B979E2" w:rsidP="00B979E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5F8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-295275</wp:posOffset>
            </wp:positionV>
            <wp:extent cx="6521450" cy="9926320"/>
            <wp:effectExtent l="19050" t="0" r="0" b="0"/>
            <wp:wrapSquare wrapText="bothSides"/>
            <wp:docPr id="3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1450" cy="992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-254635</wp:posOffset>
            </wp:positionH>
            <wp:positionV relativeFrom="paragraph">
              <wp:posOffset>-343535</wp:posOffset>
            </wp:positionV>
            <wp:extent cx="6445885" cy="9774555"/>
            <wp:effectExtent l="19050" t="0" r="0" b="0"/>
            <wp:wrapSquare wrapText="bothSides"/>
            <wp:docPr id="4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5885" cy="9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-631190</wp:posOffset>
            </wp:positionH>
            <wp:positionV relativeFrom="paragraph">
              <wp:posOffset>-213995</wp:posOffset>
            </wp:positionV>
            <wp:extent cx="6682740" cy="9732645"/>
            <wp:effectExtent l="19050" t="0" r="3810" b="0"/>
            <wp:wrapSquare wrapText="bothSides"/>
            <wp:docPr id="5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2740" cy="9732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-217170</wp:posOffset>
            </wp:positionV>
            <wp:extent cx="6424295" cy="9857740"/>
            <wp:effectExtent l="19050" t="0" r="0" b="0"/>
            <wp:wrapSquare wrapText="bothSides"/>
            <wp:docPr id="6" name="Рисунок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4295" cy="985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-219710</wp:posOffset>
            </wp:positionV>
            <wp:extent cx="6435090" cy="9872345"/>
            <wp:effectExtent l="19050" t="0" r="3810" b="0"/>
            <wp:wrapSquare wrapText="bothSides"/>
            <wp:docPr id="7" name="Рисунок 6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5090" cy="987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-194945</wp:posOffset>
            </wp:positionV>
            <wp:extent cx="6325235" cy="9620250"/>
            <wp:effectExtent l="19050" t="0" r="0" b="0"/>
            <wp:wrapTight wrapText="bothSides">
              <wp:wrapPolygon edited="0">
                <wp:start x="-65" y="0"/>
                <wp:lineTo x="-65" y="21557"/>
                <wp:lineTo x="21598" y="21557"/>
                <wp:lineTo x="21598" y="0"/>
                <wp:lineTo x="-65" y="0"/>
              </wp:wrapPolygon>
            </wp:wrapTight>
            <wp:docPr id="8" name="Рисунок 7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962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-153035</wp:posOffset>
            </wp:positionV>
            <wp:extent cx="6360160" cy="9811385"/>
            <wp:effectExtent l="19050" t="0" r="2540" b="0"/>
            <wp:wrapTight wrapText="bothSides">
              <wp:wrapPolygon edited="0">
                <wp:start x="-65" y="0"/>
                <wp:lineTo x="-65" y="21557"/>
                <wp:lineTo x="21609" y="21557"/>
                <wp:lineTo x="21609" y="0"/>
                <wp:lineTo x="-65" y="0"/>
              </wp:wrapPolygon>
            </wp:wrapTight>
            <wp:docPr id="9" name="Рисунок 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0160" cy="981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-913130</wp:posOffset>
            </wp:positionH>
            <wp:positionV relativeFrom="paragraph">
              <wp:posOffset>-312420</wp:posOffset>
            </wp:positionV>
            <wp:extent cx="7102475" cy="7971155"/>
            <wp:effectExtent l="19050" t="0" r="3175" b="0"/>
            <wp:wrapTight wrapText="bothSides">
              <wp:wrapPolygon edited="0">
                <wp:start x="-58" y="0"/>
                <wp:lineTo x="-58" y="21526"/>
                <wp:lineTo x="21610" y="21526"/>
                <wp:lineTo x="21610" y="0"/>
                <wp:lineTo x="-58" y="0"/>
              </wp:wrapPolygon>
            </wp:wrapTight>
            <wp:docPr id="10" name="Рисунок 9" descr="доп цве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7971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-473075</wp:posOffset>
            </wp:positionV>
            <wp:extent cx="5928995" cy="10370185"/>
            <wp:effectExtent l="19050" t="0" r="0" b="0"/>
            <wp:wrapTight wrapText="bothSides">
              <wp:wrapPolygon edited="0">
                <wp:start x="-69" y="0"/>
                <wp:lineTo x="-69" y="21546"/>
                <wp:lineTo x="21584" y="21546"/>
                <wp:lineTo x="21584" y="0"/>
                <wp:lineTo x="-69" y="0"/>
              </wp:wrapPolygon>
            </wp:wrapTight>
            <wp:docPr id="11" name="Рисунок 10" descr="доп цв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995" cy="1037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-473075</wp:posOffset>
            </wp:positionV>
            <wp:extent cx="6768465" cy="8846820"/>
            <wp:effectExtent l="19050" t="0" r="0" b="0"/>
            <wp:wrapTight wrapText="bothSides">
              <wp:wrapPolygon edited="0">
                <wp:start x="-61" y="0"/>
                <wp:lineTo x="-61" y="21535"/>
                <wp:lineTo x="21582" y="21535"/>
                <wp:lineTo x="21582" y="0"/>
                <wp:lineTo x="-61" y="0"/>
              </wp:wrapPolygon>
            </wp:wrapTight>
            <wp:docPr id="12" name="Рисунок 11" descr="доп цве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8465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-473075</wp:posOffset>
            </wp:positionV>
            <wp:extent cx="6715125" cy="8947150"/>
            <wp:effectExtent l="19050" t="0" r="9525" b="0"/>
            <wp:wrapTight wrapText="bothSides">
              <wp:wrapPolygon edited="0">
                <wp:start x="-61" y="0"/>
                <wp:lineTo x="-61" y="21569"/>
                <wp:lineTo x="21631" y="21569"/>
                <wp:lineTo x="21631" y="0"/>
                <wp:lineTo x="-61" y="0"/>
              </wp:wrapPolygon>
            </wp:wrapTight>
            <wp:docPr id="13" name="Рисунок 12" descr="доп цве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п цвет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894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A5F8E" w:rsidRDefault="00EA5F8E" w:rsidP="008850E0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EA5F8E" w:rsidSect="00EA5F8E">
      <w:pgSz w:w="11906" w:h="16838"/>
      <w:pgMar w:top="1134" w:right="851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40CA" w:rsidRDefault="008840CA" w:rsidP="00EA5F8E">
      <w:pPr>
        <w:spacing w:after="0" w:line="240" w:lineRule="auto"/>
      </w:pPr>
      <w:r>
        <w:separator/>
      </w:r>
    </w:p>
  </w:endnote>
  <w:endnote w:type="continuationSeparator" w:id="0">
    <w:p w:rsidR="008840CA" w:rsidRDefault="008840CA" w:rsidP="00EA5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40CA" w:rsidRDefault="008840CA" w:rsidP="00EA5F8E">
      <w:pPr>
        <w:spacing w:after="0" w:line="240" w:lineRule="auto"/>
      </w:pPr>
      <w:r>
        <w:separator/>
      </w:r>
    </w:p>
  </w:footnote>
  <w:footnote w:type="continuationSeparator" w:id="0">
    <w:p w:rsidR="008840CA" w:rsidRDefault="008840CA" w:rsidP="00EA5F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5C37"/>
    <w:rsid w:val="00151958"/>
    <w:rsid w:val="00272544"/>
    <w:rsid w:val="002A210E"/>
    <w:rsid w:val="004779FC"/>
    <w:rsid w:val="006233D0"/>
    <w:rsid w:val="007E5C37"/>
    <w:rsid w:val="008840CA"/>
    <w:rsid w:val="008850E0"/>
    <w:rsid w:val="00B979E2"/>
    <w:rsid w:val="00C51AE5"/>
    <w:rsid w:val="00DB3692"/>
    <w:rsid w:val="00EA5F8E"/>
    <w:rsid w:val="00EE212D"/>
    <w:rsid w:val="00F44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A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50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50E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A5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A5F8E"/>
  </w:style>
  <w:style w:type="paragraph" w:styleId="a7">
    <w:name w:val="footer"/>
    <w:basedOn w:val="a"/>
    <w:link w:val="a8"/>
    <w:uiPriority w:val="99"/>
    <w:semiHidden/>
    <w:unhideWhenUsed/>
    <w:rsid w:val="00EA5F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A5F8E"/>
  </w:style>
  <w:style w:type="paragraph" w:customStyle="1" w:styleId="ConsPlusNormal">
    <w:name w:val="ConsPlusNormal"/>
    <w:rsid w:val="00B979E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1891</Words>
  <Characters>10784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Subotina</cp:lastModifiedBy>
  <cp:revision>5</cp:revision>
  <dcterms:created xsi:type="dcterms:W3CDTF">2025-06-25T07:10:00Z</dcterms:created>
  <dcterms:modified xsi:type="dcterms:W3CDTF">2025-07-02T09:12:00Z</dcterms:modified>
</cp:coreProperties>
</file>